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7513"/>
      </w:tblGrid>
      <w:tr w:rsidR="007F63B3" w:rsidRPr="007F63B3" w:rsidTr="008D65B1">
        <w:tc>
          <w:tcPr>
            <w:tcW w:w="7763" w:type="dxa"/>
            <w:shd w:val="clear" w:color="auto" w:fill="auto"/>
            <w:vAlign w:val="center"/>
          </w:tcPr>
          <w:p w:rsidR="007F63B3" w:rsidRPr="007F63B3" w:rsidRDefault="007F63B3" w:rsidP="007F63B3">
            <w:r w:rsidRPr="007F63B3">
              <w:t>Нормы Закона «О налоговой системе»</w:t>
            </w:r>
          </w:p>
        </w:tc>
        <w:tc>
          <w:tcPr>
            <w:tcW w:w="7513" w:type="dxa"/>
            <w:shd w:val="clear" w:color="auto" w:fill="auto"/>
            <w:vAlign w:val="center"/>
          </w:tcPr>
          <w:p w:rsidR="007F63B3" w:rsidRPr="007F63B3" w:rsidRDefault="007F63B3" w:rsidP="007F63B3">
            <w:r w:rsidRPr="007F63B3">
              <w:t>Нормы Закона «О налоговой системе» с учетом внес</w:t>
            </w:r>
            <w:bookmarkStart w:id="0" w:name="_GoBack"/>
            <w:bookmarkEnd w:id="0"/>
            <w:r w:rsidRPr="007F63B3">
              <w:t>ения изменений</w:t>
            </w:r>
          </w:p>
        </w:tc>
      </w:tr>
      <w:tr w:rsidR="007F63B3" w:rsidRPr="007F63B3" w:rsidTr="008D65B1">
        <w:trPr>
          <w:trHeight w:val="283"/>
        </w:trPr>
        <w:tc>
          <w:tcPr>
            <w:tcW w:w="7763" w:type="dxa"/>
            <w:shd w:val="clear" w:color="auto" w:fill="auto"/>
          </w:tcPr>
          <w:p w:rsidR="007F63B3" w:rsidRPr="007F63B3" w:rsidRDefault="007F63B3" w:rsidP="007F63B3">
            <w:r w:rsidRPr="007F63B3">
              <w:t>В состав валовых расходов не включается амортизация зданий, транспортных средств.</w:t>
            </w:r>
          </w:p>
          <w:p w:rsidR="007F63B3" w:rsidRPr="007F63B3" w:rsidRDefault="007F63B3" w:rsidP="007F63B3"/>
        </w:tc>
        <w:tc>
          <w:tcPr>
            <w:tcW w:w="7513" w:type="dxa"/>
            <w:shd w:val="clear" w:color="auto" w:fill="auto"/>
          </w:tcPr>
          <w:p w:rsidR="007F63B3" w:rsidRPr="007F63B3" w:rsidRDefault="007F63B3" w:rsidP="007F63B3">
            <w:r w:rsidRPr="007F63B3">
              <w:t xml:space="preserve">В состав валовых расходов включается амортизация зданий, транспортных средств (кроме легкового автотранспорта, за исключением субъектов хозяйствования, осуществляющих </w:t>
            </w:r>
            <w:proofErr w:type="spellStart"/>
            <w:proofErr w:type="gramStart"/>
            <w:r w:rsidRPr="007F63B3">
              <w:t>грузо</w:t>
            </w:r>
            <w:proofErr w:type="spellEnd"/>
            <w:r w:rsidRPr="007F63B3">
              <w:t>-пассажирские</w:t>
            </w:r>
            <w:proofErr w:type="gramEnd"/>
            <w:r w:rsidRPr="007F63B3">
              <w:t xml:space="preserve"> перевозки).</w:t>
            </w:r>
          </w:p>
        </w:tc>
      </w:tr>
      <w:tr w:rsidR="007F63B3" w:rsidRPr="007F63B3" w:rsidTr="008D65B1">
        <w:trPr>
          <w:trHeight w:val="283"/>
        </w:trPr>
        <w:tc>
          <w:tcPr>
            <w:tcW w:w="7763" w:type="dxa"/>
            <w:shd w:val="clear" w:color="auto" w:fill="auto"/>
          </w:tcPr>
          <w:p w:rsidR="007F63B3" w:rsidRPr="007F63B3" w:rsidRDefault="007F63B3" w:rsidP="007F63B3">
            <w:r w:rsidRPr="007F63B3">
              <w:t>В состав валовых расходов включается оплаченная заработная плата, оплаченные налоги, сборы, оплаченные коммунальные платежи.</w:t>
            </w:r>
          </w:p>
        </w:tc>
        <w:tc>
          <w:tcPr>
            <w:tcW w:w="7513" w:type="dxa"/>
            <w:shd w:val="clear" w:color="auto" w:fill="auto"/>
          </w:tcPr>
          <w:p w:rsidR="007F63B3" w:rsidRPr="007F63B3" w:rsidRDefault="007F63B3" w:rsidP="007F63B3">
            <w:r w:rsidRPr="007F63B3">
              <w:t>В состав валовых расходов включается начисленная заработная плата, начисленные налоги, сборы, начисленные коммунальные платежи.</w:t>
            </w:r>
          </w:p>
        </w:tc>
      </w:tr>
      <w:tr w:rsidR="007F63B3" w:rsidRPr="007F63B3" w:rsidTr="008D65B1">
        <w:trPr>
          <w:trHeight w:val="283"/>
        </w:trPr>
        <w:tc>
          <w:tcPr>
            <w:tcW w:w="7763" w:type="dxa"/>
            <w:shd w:val="clear" w:color="auto" w:fill="auto"/>
          </w:tcPr>
          <w:p w:rsidR="007F63B3" w:rsidRPr="007F63B3" w:rsidRDefault="007F63B3" w:rsidP="007F63B3">
            <w:r w:rsidRPr="007F63B3">
              <w:t xml:space="preserve">В состав валовых расходов включаются расходы на ремонт и    содержание основных средств в </w:t>
            </w:r>
            <w:proofErr w:type="gramStart"/>
            <w:r w:rsidRPr="007F63B3">
              <w:t>размере</w:t>
            </w:r>
            <w:proofErr w:type="gramEnd"/>
            <w:r w:rsidRPr="007F63B3">
              <w:t xml:space="preserve"> не превышающем 10% таких расходов за отчетный месяц.</w:t>
            </w:r>
          </w:p>
        </w:tc>
        <w:tc>
          <w:tcPr>
            <w:tcW w:w="7513" w:type="dxa"/>
            <w:shd w:val="clear" w:color="auto" w:fill="auto"/>
          </w:tcPr>
          <w:p w:rsidR="007F63B3" w:rsidRPr="007F63B3" w:rsidRDefault="007F63B3" w:rsidP="007F63B3">
            <w:r w:rsidRPr="007F63B3">
              <w:t>В состав валовых расходов включаются расходы:</w:t>
            </w:r>
          </w:p>
          <w:p w:rsidR="007F63B3" w:rsidRPr="007F63B3" w:rsidRDefault="007F63B3" w:rsidP="007F63B3">
            <w:r w:rsidRPr="007F63B3">
              <w:t xml:space="preserve">- на ремонт и улучшение основных средств, в том числе арендованных в </w:t>
            </w:r>
            <w:proofErr w:type="gramStart"/>
            <w:r w:rsidRPr="007F63B3">
              <w:t>размере</w:t>
            </w:r>
            <w:proofErr w:type="gramEnd"/>
            <w:r w:rsidRPr="007F63B3">
              <w:t xml:space="preserve"> не превышающем 10% совокупной балансовой стоимости всех групп основных средств на начало отчетного года;</w:t>
            </w:r>
          </w:p>
          <w:p w:rsidR="007F63B3" w:rsidRPr="007F63B3" w:rsidRDefault="007F63B3" w:rsidP="007F63B3">
            <w:r w:rsidRPr="007F63B3">
              <w:t xml:space="preserve">- понесенные на содержание, эксплуатацию основных фондов, других необоротных материальных активов, которые используются в хозяйственной деятельности  </w:t>
            </w:r>
          </w:p>
        </w:tc>
      </w:tr>
      <w:tr w:rsidR="007F63B3" w:rsidRPr="007F63B3" w:rsidTr="008D65B1">
        <w:trPr>
          <w:trHeight w:val="283"/>
        </w:trPr>
        <w:tc>
          <w:tcPr>
            <w:tcW w:w="7763" w:type="dxa"/>
            <w:shd w:val="clear" w:color="auto" w:fill="auto"/>
          </w:tcPr>
          <w:p w:rsidR="007F63B3" w:rsidRPr="007F63B3" w:rsidRDefault="007F63B3" w:rsidP="007F63B3">
            <w:r w:rsidRPr="007F63B3">
              <w:t>Налог с оборота не включается в состав валовых расходов.</w:t>
            </w:r>
          </w:p>
        </w:tc>
        <w:tc>
          <w:tcPr>
            <w:tcW w:w="7513" w:type="dxa"/>
            <w:shd w:val="clear" w:color="auto" w:fill="auto"/>
          </w:tcPr>
          <w:p w:rsidR="007F63B3" w:rsidRPr="007F63B3" w:rsidRDefault="007F63B3" w:rsidP="007F63B3">
            <w:r w:rsidRPr="007F63B3">
              <w:t xml:space="preserve">Разрешено включать налог с оборота в цену товара, при этом налог с оборота не включается как в состав валовых </w:t>
            </w:r>
            <w:proofErr w:type="gramStart"/>
            <w:r w:rsidRPr="007F63B3">
              <w:t>расходов</w:t>
            </w:r>
            <w:proofErr w:type="gramEnd"/>
            <w:r w:rsidRPr="007F63B3">
              <w:t xml:space="preserve"> так и в состав валовых доходов.</w:t>
            </w:r>
          </w:p>
        </w:tc>
      </w:tr>
      <w:tr w:rsidR="007F63B3" w:rsidRPr="007F63B3" w:rsidTr="008D65B1">
        <w:trPr>
          <w:trHeight w:val="283"/>
        </w:trPr>
        <w:tc>
          <w:tcPr>
            <w:tcW w:w="7763" w:type="dxa"/>
            <w:shd w:val="clear" w:color="auto" w:fill="auto"/>
          </w:tcPr>
          <w:p w:rsidR="007F63B3" w:rsidRPr="007F63B3" w:rsidRDefault="007F63B3" w:rsidP="007F63B3">
            <w:r w:rsidRPr="007F63B3">
              <w:t>Отсутствует</w:t>
            </w:r>
          </w:p>
        </w:tc>
        <w:tc>
          <w:tcPr>
            <w:tcW w:w="7513" w:type="dxa"/>
            <w:shd w:val="clear" w:color="auto" w:fill="auto"/>
          </w:tcPr>
          <w:p w:rsidR="007F63B3" w:rsidRPr="007F63B3" w:rsidRDefault="007F63B3" w:rsidP="007F63B3">
            <w:r w:rsidRPr="007F63B3">
              <w:t>Не являются объектом налогообложения налогом с оборота суммы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tc>
      </w:tr>
      <w:tr w:rsidR="007F63B3" w:rsidRPr="007F63B3" w:rsidTr="008D65B1">
        <w:trPr>
          <w:trHeight w:val="283"/>
        </w:trPr>
        <w:tc>
          <w:tcPr>
            <w:tcW w:w="7763" w:type="dxa"/>
            <w:shd w:val="clear" w:color="auto" w:fill="auto"/>
          </w:tcPr>
          <w:p w:rsidR="007F63B3" w:rsidRPr="007F63B3" w:rsidRDefault="007F63B3" w:rsidP="007F63B3">
            <w:r w:rsidRPr="007F63B3">
              <w:t>Не разрешено относить в состав валовых расходов расходы на приобретение продукции не у плательщиков сельскохозяйственного налога.</w:t>
            </w:r>
          </w:p>
        </w:tc>
        <w:tc>
          <w:tcPr>
            <w:tcW w:w="7513" w:type="dxa"/>
            <w:shd w:val="clear" w:color="auto" w:fill="auto"/>
          </w:tcPr>
          <w:p w:rsidR="007F63B3" w:rsidRPr="007F63B3" w:rsidRDefault="007F63B3" w:rsidP="007F63B3">
            <w:r w:rsidRPr="007F63B3">
              <w:t xml:space="preserve">Разрешено относить в состав валовых расходов расходы на приобретение сельскохозяйственной продукции, приобретенной у импортера при наличии </w:t>
            </w:r>
            <w:proofErr w:type="spellStart"/>
            <w:r w:rsidRPr="007F63B3">
              <w:t>ГТД</w:t>
            </w:r>
            <w:proofErr w:type="spellEnd"/>
            <w:r w:rsidRPr="007F63B3">
              <w:t>, а также молочной продукции и мяса у населения при условии уплаты подоходного налога и подтверждения качества такой продукции документами, выданными соответствующим органом, осуществляющим контроль в санитарно-ветеринарной сфере</w:t>
            </w:r>
            <w:proofErr w:type="gramStart"/>
            <w:r w:rsidRPr="007F63B3">
              <w:t>.;</w:t>
            </w:r>
            <w:proofErr w:type="gramEnd"/>
          </w:p>
        </w:tc>
      </w:tr>
      <w:tr w:rsidR="007F63B3" w:rsidRPr="007F63B3" w:rsidTr="008D65B1">
        <w:trPr>
          <w:trHeight w:val="283"/>
        </w:trPr>
        <w:tc>
          <w:tcPr>
            <w:tcW w:w="7763" w:type="dxa"/>
            <w:shd w:val="clear" w:color="auto" w:fill="auto"/>
          </w:tcPr>
          <w:p w:rsidR="007F63B3" w:rsidRPr="007F63B3" w:rsidRDefault="007F63B3" w:rsidP="007F63B3">
            <w:r w:rsidRPr="007F63B3">
              <w:t>Отсутствует</w:t>
            </w:r>
          </w:p>
        </w:tc>
        <w:tc>
          <w:tcPr>
            <w:tcW w:w="7513" w:type="dxa"/>
            <w:shd w:val="clear" w:color="auto" w:fill="auto"/>
          </w:tcPr>
          <w:p w:rsidR="007F63B3" w:rsidRPr="007F63B3" w:rsidRDefault="007F63B3" w:rsidP="007F63B3">
            <w:r w:rsidRPr="007F63B3">
              <w:t xml:space="preserve">Дата возникновения объекта налогообложения рассчитывается по кассовому методу плательщиками налога с оборота и налога на прибыль по операциям по поставке товаров, работ/услуг с оплатой за </w:t>
            </w:r>
            <w:r w:rsidRPr="007F63B3">
              <w:lastRenderedPageBreak/>
              <w:t>счет бюджетных средств.</w:t>
            </w:r>
          </w:p>
        </w:tc>
      </w:tr>
      <w:tr w:rsidR="007F63B3" w:rsidRPr="007F63B3" w:rsidTr="008D65B1">
        <w:trPr>
          <w:trHeight w:val="283"/>
        </w:trPr>
        <w:tc>
          <w:tcPr>
            <w:tcW w:w="7763" w:type="dxa"/>
            <w:shd w:val="clear" w:color="auto" w:fill="auto"/>
          </w:tcPr>
          <w:p w:rsidR="007F63B3" w:rsidRPr="007F63B3" w:rsidRDefault="007F63B3" w:rsidP="007F63B3">
            <w:r w:rsidRPr="007F63B3">
              <w:lastRenderedPageBreak/>
              <w:t>Сельскохозяйственный налог не включается в состав валовых расходов.</w:t>
            </w:r>
          </w:p>
        </w:tc>
        <w:tc>
          <w:tcPr>
            <w:tcW w:w="7513" w:type="dxa"/>
            <w:shd w:val="clear" w:color="auto" w:fill="auto"/>
          </w:tcPr>
          <w:p w:rsidR="007F63B3" w:rsidRPr="007F63B3" w:rsidRDefault="007F63B3" w:rsidP="007F63B3">
            <w:r w:rsidRPr="007F63B3">
              <w:t>Разрешено включать сельскохозяйственный налог в цену товаров, работ (услуг).</w:t>
            </w:r>
          </w:p>
        </w:tc>
      </w:tr>
      <w:tr w:rsidR="007F63B3" w:rsidRPr="007F63B3" w:rsidTr="008D65B1">
        <w:trPr>
          <w:trHeight w:val="283"/>
        </w:trPr>
        <w:tc>
          <w:tcPr>
            <w:tcW w:w="7763" w:type="dxa"/>
            <w:shd w:val="clear" w:color="auto" w:fill="auto"/>
          </w:tcPr>
          <w:p w:rsidR="007F63B3" w:rsidRPr="007F63B3" w:rsidRDefault="007F63B3" w:rsidP="007F63B3">
            <w:r w:rsidRPr="007F63B3">
              <w:t>Плательщики сельскохозяйственного налога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tc>
        <w:tc>
          <w:tcPr>
            <w:tcW w:w="7513" w:type="dxa"/>
            <w:shd w:val="clear" w:color="auto" w:fill="auto"/>
          </w:tcPr>
          <w:p w:rsidR="007F63B3" w:rsidRPr="007F63B3" w:rsidRDefault="007F63B3" w:rsidP="007F63B3">
            <w:r w:rsidRPr="007F63B3">
              <w:t>Разрешено плательщикам сельскохозяйственного налога приобретать сельскохозяйственную продукцию для переработки у импортера при наличии грузовой таможенной декларации, подтверждающей ввоз такой продукции и относить такие расходы в состав валовых расходов.</w:t>
            </w:r>
          </w:p>
        </w:tc>
      </w:tr>
      <w:tr w:rsidR="007F63B3" w:rsidRPr="007F63B3" w:rsidTr="008D65B1">
        <w:trPr>
          <w:trHeight w:val="283"/>
        </w:trPr>
        <w:tc>
          <w:tcPr>
            <w:tcW w:w="7763" w:type="dxa"/>
            <w:shd w:val="clear" w:color="auto" w:fill="auto"/>
          </w:tcPr>
          <w:p w:rsidR="007F63B3" w:rsidRPr="007F63B3" w:rsidRDefault="007F63B3" w:rsidP="007F63B3">
            <w:r w:rsidRPr="007F63B3">
              <w:t>Не предусмотрено право вновь созданным субъектам хозяйствования, планирующим осуществлять производство, переработку и реализацию сельскохозяйственной продукции, переходить на уплату сельскохозяйственного налога.</w:t>
            </w:r>
          </w:p>
        </w:tc>
        <w:tc>
          <w:tcPr>
            <w:tcW w:w="7513" w:type="dxa"/>
            <w:shd w:val="clear" w:color="auto" w:fill="auto"/>
          </w:tcPr>
          <w:p w:rsidR="007F63B3" w:rsidRPr="007F63B3" w:rsidRDefault="007F63B3" w:rsidP="007F63B3">
            <w:r w:rsidRPr="007F63B3">
              <w:t xml:space="preserve">Разрешено быть плательщиками сельскохозяйственного </w:t>
            </w:r>
            <w:proofErr w:type="gramStart"/>
            <w:r w:rsidRPr="007F63B3">
              <w:t>налога</w:t>
            </w:r>
            <w:proofErr w:type="gramEnd"/>
            <w:r w:rsidRPr="007F63B3">
              <w:t xml:space="preserve"> вновь созданным субъектам хозяйствования, планирующим осуществлять производство, переработку и реализацию сельскохозяйственной продукции.</w:t>
            </w:r>
          </w:p>
        </w:tc>
      </w:tr>
      <w:tr w:rsidR="007F63B3" w:rsidRPr="007F63B3" w:rsidTr="008D65B1">
        <w:trPr>
          <w:trHeight w:val="283"/>
        </w:trPr>
        <w:tc>
          <w:tcPr>
            <w:tcW w:w="7763" w:type="dxa"/>
            <w:shd w:val="clear" w:color="auto" w:fill="auto"/>
          </w:tcPr>
          <w:p w:rsidR="007F63B3" w:rsidRPr="007F63B3" w:rsidRDefault="007F63B3" w:rsidP="007F63B3">
            <w:r w:rsidRPr="007F63B3">
              <w:t>Ставки сбора за транзит, вывоз, продажу угля (угольной продукции):</w:t>
            </w:r>
          </w:p>
          <w:p w:rsidR="007F63B3" w:rsidRPr="007F63B3" w:rsidRDefault="007F63B3" w:rsidP="007F63B3">
            <w:r w:rsidRPr="007F63B3">
              <w:t>РФ – 500 рос</w:t>
            </w:r>
            <w:proofErr w:type="gramStart"/>
            <w:r w:rsidRPr="007F63B3">
              <w:t>.</w:t>
            </w:r>
            <w:proofErr w:type="gramEnd"/>
            <w:r w:rsidRPr="007F63B3">
              <w:t xml:space="preserve"> </w:t>
            </w:r>
            <w:proofErr w:type="gramStart"/>
            <w:r w:rsidRPr="007F63B3">
              <w:t>р</w:t>
            </w:r>
            <w:proofErr w:type="gramEnd"/>
            <w:r w:rsidRPr="007F63B3">
              <w:t>уб.</w:t>
            </w:r>
          </w:p>
          <w:p w:rsidR="007F63B3" w:rsidRPr="007F63B3" w:rsidRDefault="007F63B3" w:rsidP="007F63B3">
            <w:r w:rsidRPr="007F63B3">
              <w:t xml:space="preserve">Украина, </w:t>
            </w:r>
            <w:proofErr w:type="spellStart"/>
            <w:r w:rsidRPr="007F63B3">
              <w:t>ДНР</w:t>
            </w:r>
            <w:proofErr w:type="spellEnd"/>
            <w:r w:rsidRPr="007F63B3">
              <w:t xml:space="preserve"> – 300 </w:t>
            </w:r>
            <w:proofErr w:type="spellStart"/>
            <w:r w:rsidRPr="007F63B3">
              <w:t>укр</w:t>
            </w:r>
            <w:proofErr w:type="spellEnd"/>
            <w:r w:rsidRPr="007F63B3">
              <w:t>. грн./т.</w:t>
            </w:r>
          </w:p>
          <w:p w:rsidR="007F63B3" w:rsidRPr="007F63B3" w:rsidRDefault="007F63B3" w:rsidP="007F63B3"/>
        </w:tc>
        <w:tc>
          <w:tcPr>
            <w:tcW w:w="7513" w:type="dxa"/>
            <w:shd w:val="clear" w:color="auto" w:fill="auto"/>
          </w:tcPr>
          <w:p w:rsidR="007F63B3" w:rsidRPr="007F63B3" w:rsidRDefault="007F63B3" w:rsidP="007F63B3">
            <w:r w:rsidRPr="007F63B3">
              <w:t>Ставки сбора за транзит, вывоз, продажу угля (угольной продукции):</w:t>
            </w:r>
          </w:p>
          <w:p w:rsidR="007F63B3" w:rsidRPr="007F63B3" w:rsidRDefault="007F63B3" w:rsidP="007F63B3">
            <w:r w:rsidRPr="007F63B3">
              <w:t>РФ –  сортовые марки угля (</w:t>
            </w:r>
            <w:proofErr w:type="spellStart"/>
            <w:r w:rsidRPr="007F63B3">
              <w:t>АМ</w:t>
            </w:r>
            <w:proofErr w:type="spellEnd"/>
            <w:r w:rsidRPr="007F63B3">
              <w:t xml:space="preserve">, АС, АО, </w:t>
            </w:r>
            <w:proofErr w:type="spellStart"/>
            <w:r w:rsidRPr="007F63B3">
              <w:t>АКО</w:t>
            </w:r>
            <w:proofErr w:type="spellEnd"/>
            <w:r w:rsidRPr="007F63B3">
              <w:t>, Т) - 500 рос</w:t>
            </w:r>
            <w:proofErr w:type="gramStart"/>
            <w:r w:rsidRPr="007F63B3">
              <w:t>.</w:t>
            </w:r>
            <w:proofErr w:type="gramEnd"/>
            <w:r w:rsidRPr="007F63B3">
              <w:t xml:space="preserve"> </w:t>
            </w:r>
            <w:proofErr w:type="gramStart"/>
            <w:r w:rsidRPr="007F63B3">
              <w:t>р</w:t>
            </w:r>
            <w:proofErr w:type="gramEnd"/>
            <w:r w:rsidRPr="007F63B3">
              <w:t>уб./т;</w:t>
            </w:r>
          </w:p>
          <w:p w:rsidR="007F63B3" w:rsidRPr="007F63B3" w:rsidRDefault="007F63B3" w:rsidP="007F63B3">
            <w:r w:rsidRPr="007F63B3">
              <w:t xml:space="preserve">         несортовые марки угл</w:t>
            </w:r>
            <w:proofErr w:type="gramStart"/>
            <w:r w:rsidRPr="007F63B3">
              <w:t>я(</w:t>
            </w:r>
            <w:proofErr w:type="spellStart"/>
            <w:proofErr w:type="gramEnd"/>
            <w:r w:rsidRPr="007F63B3">
              <w:t>АШ,АРШ</w:t>
            </w:r>
            <w:proofErr w:type="spellEnd"/>
            <w:r w:rsidRPr="007F63B3">
              <w:t xml:space="preserve">, </w:t>
            </w:r>
            <w:proofErr w:type="spellStart"/>
            <w:r w:rsidRPr="007F63B3">
              <w:t>АСШ</w:t>
            </w:r>
            <w:proofErr w:type="spellEnd"/>
            <w:r w:rsidRPr="007F63B3">
              <w:t>) – 200 рос. руб./т.;</w:t>
            </w:r>
          </w:p>
          <w:p w:rsidR="007F63B3" w:rsidRPr="007F63B3" w:rsidRDefault="007F63B3" w:rsidP="007F63B3">
            <w:r w:rsidRPr="007F63B3">
              <w:t xml:space="preserve">Украина, </w:t>
            </w:r>
            <w:proofErr w:type="spellStart"/>
            <w:r w:rsidRPr="007F63B3">
              <w:t>ДНР</w:t>
            </w:r>
            <w:proofErr w:type="spellEnd"/>
            <w:r w:rsidRPr="007F63B3">
              <w:t xml:space="preserve"> – сортовые марки угля (</w:t>
            </w:r>
            <w:proofErr w:type="spellStart"/>
            <w:r w:rsidRPr="007F63B3">
              <w:t>Ж</w:t>
            </w:r>
            <w:proofErr w:type="gramStart"/>
            <w:r w:rsidRPr="007F63B3">
              <w:t>,К</w:t>
            </w:r>
            <w:proofErr w:type="spellEnd"/>
            <w:proofErr w:type="gramEnd"/>
            <w:r w:rsidRPr="007F63B3">
              <w:t xml:space="preserve">, ОС, </w:t>
            </w:r>
            <w:proofErr w:type="spellStart"/>
            <w:r w:rsidRPr="007F63B3">
              <w:t>АМ</w:t>
            </w:r>
            <w:proofErr w:type="spellEnd"/>
            <w:r w:rsidRPr="007F63B3">
              <w:t xml:space="preserve">, АС, АО,                        </w:t>
            </w:r>
            <w:proofErr w:type="spellStart"/>
            <w:r w:rsidRPr="007F63B3">
              <w:t>АКО</w:t>
            </w:r>
            <w:proofErr w:type="spellEnd"/>
            <w:r w:rsidRPr="007F63B3">
              <w:t xml:space="preserve">)- 300 </w:t>
            </w:r>
            <w:proofErr w:type="spellStart"/>
            <w:r w:rsidRPr="007F63B3">
              <w:t>укр</w:t>
            </w:r>
            <w:proofErr w:type="spellEnd"/>
            <w:r w:rsidRPr="007F63B3">
              <w:t>. грн./т.</w:t>
            </w:r>
          </w:p>
          <w:p w:rsidR="007F63B3" w:rsidRPr="007F63B3" w:rsidRDefault="007F63B3" w:rsidP="007F63B3">
            <w:r w:rsidRPr="007F63B3">
              <w:t xml:space="preserve">                           - несортовые марки угля (</w:t>
            </w:r>
            <w:proofErr w:type="spellStart"/>
            <w:r w:rsidRPr="007F63B3">
              <w:t>АШ</w:t>
            </w:r>
            <w:proofErr w:type="gramStart"/>
            <w:r w:rsidRPr="007F63B3">
              <w:t>,А</w:t>
            </w:r>
            <w:proofErr w:type="gramEnd"/>
            <w:r w:rsidRPr="007F63B3">
              <w:t>РШ</w:t>
            </w:r>
            <w:proofErr w:type="spellEnd"/>
            <w:r w:rsidRPr="007F63B3">
              <w:t xml:space="preserve">, </w:t>
            </w:r>
            <w:proofErr w:type="spellStart"/>
            <w:r w:rsidRPr="007F63B3">
              <w:t>ГСШ</w:t>
            </w:r>
            <w:proofErr w:type="spellEnd"/>
            <w:r w:rsidRPr="007F63B3">
              <w:t xml:space="preserve">, ГК, </w:t>
            </w:r>
            <w:proofErr w:type="spellStart"/>
            <w:r w:rsidRPr="007F63B3">
              <w:t>ТК</w:t>
            </w:r>
            <w:proofErr w:type="spellEnd"/>
            <w:r w:rsidRPr="007F63B3">
              <w:t xml:space="preserve">) – 100 </w:t>
            </w:r>
            <w:proofErr w:type="spellStart"/>
            <w:r w:rsidRPr="007F63B3">
              <w:t>укр.грн</w:t>
            </w:r>
            <w:proofErr w:type="spellEnd"/>
            <w:r w:rsidRPr="007F63B3">
              <w:t xml:space="preserve">./т. </w:t>
            </w:r>
          </w:p>
        </w:tc>
      </w:tr>
      <w:tr w:rsidR="007F63B3" w:rsidRPr="007F63B3" w:rsidTr="008D65B1">
        <w:trPr>
          <w:trHeight w:val="283"/>
        </w:trPr>
        <w:tc>
          <w:tcPr>
            <w:tcW w:w="7763" w:type="dxa"/>
            <w:shd w:val="clear" w:color="auto" w:fill="auto"/>
          </w:tcPr>
          <w:p w:rsidR="007F63B3" w:rsidRPr="007F63B3" w:rsidRDefault="007F63B3" w:rsidP="007F63B3">
            <w:r w:rsidRPr="007F63B3">
              <w:t>Ставки сбора за продажу угля:</w:t>
            </w:r>
          </w:p>
          <w:p w:rsidR="007F63B3" w:rsidRPr="007F63B3" w:rsidRDefault="007F63B3" w:rsidP="007F63B3">
            <w:r w:rsidRPr="007F63B3">
              <w:t xml:space="preserve">Внутри </w:t>
            </w:r>
            <w:proofErr w:type="spellStart"/>
            <w:r w:rsidRPr="007F63B3">
              <w:t>ЛНР</w:t>
            </w:r>
            <w:proofErr w:type="spellEnd"/>
            <w:r w:rsidRPr="007F63B3">
              <w:t xml:space="preserve"> – 200 рос</w:t>
            </w:r>
            <w:proofErr w:type="gramStart"/>
            <w:r w:rsidRPr="007F63B3">
              <w:t>.</w:t>
            </w:r>
            <w:proofErr w:type="gramEnd"/>
            <w:r w:rsidRPr="007F63B3">
              <w:t xml:space="preserve"> </w:t>
            </w:r>
            <w:proofErr w:type="gramStart"/>
            <w:r w:rsidRPr="007F63B3">
              <w:t>р</w:t>
            </w:r>
            <w:proofErr w:type="gramEnd"/>
            <w:r w:rsidRPr="007F63B3">
              <w:t>уб./т.</w:t>
            </w:r>
          </w:p>
        </w:tc>
        <w:tc>
          <w:tcPr>
            <w:tcW w:w="7513" w:type="dxa"/>
            <w:shd w:val="clear" w:color="auto" w:fill="auto"/>
          </w:tcPr>
          <w:p w:rsidR="007F63B3" w:rsidRPr="007F63B3" w:rsidRDefault="007F63B3" w:rsidP="007F63B3">
            <w:r w:rsidRPr="007F63B3">
              <w:t>Ставки сбора за продажу угля:</w:t>
            </w:r>
          </w:p>
          <w:p w:rsidR="007F63B3" w:rsidRPr="007F63B3" w:rsidRDefault="007F63B3" w:rsidP="007F63B3">
            <w:r w:rsidRPr="007F63B3">
              <w:t xml:space="preserve">Внутри </w:t>
            </w:r>
            <w:proofErr w:type="spellStart"/>
            <w:r w:rsidRPr="007F63B3">
              <w:t>ЛНР</w:t>
            </w:r>
            <w:proofErr w:type="spellEnd"/>
            <w:r w:rsidRPr="007F63B3">
              <w:t xml:space="preserve"> за продажу нерезидентам– 200 рос</w:t>
            </w:r>
            <w:proofErr w:type="gramStart"/>
            <w:r w:rsidRPr="007F63B3">
              <w:t>.</w:t>
            </w:r>
            <w:proofErr w:type="gramEnd"/>
            <w:r w:rsidRPr="007F63B3">
              <w:t xml:space="preserve"> </w:t>
            </w:r>
            <w:proofErr w:type="gramStart"/>
            <w:r w:rsidRPr="007F63B3">
              <w:t>р</w:t>
            </w:r>
            <w:proofErr w:type="gramEnd"/>
            <w:r w:rsidRPr="007F63B3">
              <w:t>уб./т.</w:t>
            </w:r>
          </w:p>
          <w:p w:rsidR="007F63B3" w:rsidRPr="007F63B3" w:rsidRDefault="007F63B3" w:rsidP="007F63B3">
            <w:r w:rsidRPr="007F63B3">
              <w:t xml:space="preserve">Внутри </w:t>
            </w:r>
            <w:proofErr w:type="spellStart"/>
            <w:r w:rsidRPr="007F63B3">
              <w:t>ЛНР</w:t>
            </w:r>
            <w:proofErr w:type="spellEnd"/>
            <w:r w:rsidRPr="007F63B3">
              <w:t xml:space="preserve"> за продажу субъектам </w:t>
            </w:r>
            <w:proofErr w:type="spellStart"/>
            <w:r w:rsidRPr="007F63B3">
              <w:t>ЛНР</w:t>
            </w:r>
            <w:proofErr w:type="spellEnd"/>
            <w:r w:rsidRPr="007F63B3">
              <w:t xml:space="preserve"> –  ставки сбора не уплачиваются, налогообложение на общих основаниях;</w:t>
            </w:r>
          </w:p>
        </w:tc>
      </w:tr>
      <w:tr w:rsidR="007F63B3" w:rsidRPr="007F63B3" w:rsidTr="008D65B1">
        <w:trPr>
          <w:trHeight w:val="283"/>
        </w:trPr>
        <w:tc>
          <w:tcPr>
            <w:tcW w:w="7763" w:type="dxa"/>
            <w:shd w:val="clear" w:color="auto" w:fill="auto"/>
          </w:tcPr>
          <w:p w:rsidR="007F63B3" w:rsidRPr="007F63B3" w:rsidRDefault="007F63B3" w:rsidP="007F63B3">
            <w:r w:rsidRPr="007F63B3">
              <w:t>Ставки сбора за продажу лома черных и цветных металлов:</w:t>
            </w:r>
          </w:p>
          <w:p w:rsidR="007F63B3" w:rsidRPr="007F63B3" w:rsidRDefault="007F63B3" w:rsidP="007F63B3">
            <w:r w:rsidRPr="007F63B3">
              <w:t xml:space="preserve">Внутри </w:t>
            </w:r>
            <w:proofErr w:type="spellStart"/>
            <w:r w:rsidRPr="007F63B3">
              <w:t>ЛНР</w:t>
            </w:r>
            <w:proofErr w:type="spellEnd"/>
            <w:r w:rsidRPr="007F63B3">
              <w:t xml:space="preserve"> – лома черных металлов – 200 </w:t>
            </w:r>
            <w:proofErr w:type="spellStart"/>
            <w:r w:rsidRPr="007F63B3">
              <w:t>укр</w:t>
            </w:r>
            <w:proofErr w:type="spellEnd"/>
            <w:r w:rsidRPr="007F63B3">
              <w:t>. грн./т.</w:t>
            </w:r>
          </w:p>
          <w:p w:rsidR="007F63B3" w:rsidRPr="007F63B3" w:rsidRDefault="007F63B3" w:rsidP="007F63B3">
            <w:r w:rsidRPr="007F63B3">
              <w:t xml:space="preserve">                        - лома цветных металлов – 1500 </w:t>
            </w:r>
            <w:proofErr w:type="spellStart"/>
            <w:r w:rsidRPr="007F63B3">
              <w:t>укр</w:t>
            </w:r>
            <w:proofErr w:type="spellEnd"/>
            <w:r w:rsidRPr="007F63B3">
              <w:t>. грн./т.</w:t>
            </w:r>
          </w:p>
        </w:tc>
        <w:tc>
          <w:tcPr>
            <w:tcW w:w="7513" w:type="dxa"/>
            <w:shd w:val="clear" w:color="auto" w:fill="auto"/>
          </w:tcPr>
          <w:p w:rsidR="007F63B3" w:rsidRPr="007F63B3" w:rsidRDefault="007F63B3" w:rsidP="007F63B3">
            <w:r w:rsidRPr="007F63B3">
              <w:t>Ставки сбора за продажу лома черных и цветных металлов:</w:t>
            </w:r>
          </w:p>
          <w:p w:rsidR="007F63B3" w:rsidRPr="007F63B3" w:rsidRDefault="007F63B3" w:rsidP="007F63B3">
            <w:r w:rsidRPr="007F63B3">
              <w:t xml:space="preserve">Внутри </w:t>
            </w:r>
            <w:proofErr w:type="spellStart"/>
            <w:r w:rsidRPr="007F63B3">
              <w:t>ЛНР</w:t>
            </w:r>
            <w:proofErr w:type="spellEnd"/>
            <w:r w:rsidRPr="007F63B3">
              <w:t xml:space="preserve"> за продажу нерезидентам:</w:t>
            </w:r>
          </w:p>
          <w:p w:rsidR="007F63B3" w:rsidRPr="007F63B3" w:rsidRDefault="007F63B3" w:rsidP="007F63B3">
            <w:r w:rsidRPr="007F63B3">
              <w:t xml:space="preserve">– лома черных металлов – 200 </w:t>
            </w:r>
            <w:proofErr w:type="spellStart"/>
            <w:r w:rsidRPr="007F63B3">
              <w:t>укр</w:t>
            </w:r>
            <w:proofErr w:type="spellEnd"/>
            <w:r w:rsidRPr="007F63B3">
              <w:t>. грн./т.</w:t>
            </w:r>
          </w:p>
          <w:p w:rsidR="007F63B3" w:rsidRPr="007F63B3" w:rsidRDefault="007F63B3" w:rsidP="007F63B3">
            <w:r w:rsidRPr="007F63B3">
              <w:t xml:space="preserve">- лома цветных металлов – 1500 </w:t>
            </w:r>
            <w:proofErr w:type="spellStart"/>
            <w:r w:rsidRPr="007F63B3">
              <w:t>укр</w:t>
            </w:r>
            <w:proofErr w:type="spellEnd"/>
            <w:r w:rsidRPr="007F63B3">
              <w:t>. грн./т.</w:t>
            </w:r>
          </w:p>
          <w:p w:rsidR="007F63B3" w:rsidRPr="007F63B3" w:rsidRDefault="007F63B3" w:rsidP="007F63B3">
            <w:r w:rsidRPr="007F63B3">
              <w:t xml:space="preserve">Внутри </w:t>
            </w:r>
            <w:proofErr w:type="spellStart"/>
            <w:r w:rsidRPr="007F63B3">
              <w:t>ЛНР</w:t>
            </w:r>
            <w:proofErr w:type="spellEnd"/>
            <w:r w:rsidRPr="007F63B3">
              <w:t xml:space="preserve"> за продажу субъектам </w:t>
            </w:r>
            <w:proofErr w:type="spellStart"/>
            <w:r w:rsidRPr="007F63B3">
              <w:t>ЛНР</w:t>
            </w:r>
            <w:proofErr w:type="spellEnd"/>
            <w:r w:rsidRPr="007F63B3">
              <w:t xml:space="preserve"> –  ставки сбора не уплачиваются, налогообложение на общих основаниях;</w:t>
            </w:r>
          </w:p>
        </w:tc>
      </w:tr>
      <w:tr w:rsidR="007F63B3" w:rsidRPr="007F63B3" w:rsidTr="008D65B1">
        <w:trPr>
          <w:trHeight w:val="283"/>
        </w:trPr>
        <w:tc>
          <w:tcPr>
            <w:tcW w:w="7763" w:type="dxa"/>
            <w:shd w:val="clear" w:color="auto" w:fill="auto"/>
          </w:tcPr>
          <w:p w:rsidR="007F63B3" w:rsidRPr="007F63B3" w:rsidRDefault="007F63B3" w:rsidP="007F63B3">
            <w:r w:rsidRPr="007F63B3">
              <w:t>Для получения патента субъекты хозяйствования обязаны представлять договор (справку) с рынка о праве пользования местом.</w:t>
            </w:r>
          </w:p>
        </w:tc>
        <w:tc>
          <w:tcPr>
            <w:tcW w:w="7513" w:type="dxa"/>
            <w:shd w:val="clear" w:color="auto" w:fill="auto"/>
          </w:tcPr>
          <w:p w:rsidR="007F63B3" w:rsidRPr="007F63B3" w:rsidRDefault="007F63B3" w:rsidP="007F63B3">
            <w:r w:rsidRPr="007F63B3">
              <w:t xml:space="preserve">При подаче заявления заявитель обязан </w:t>
            </w:r>
            <w:proofErr w:type="gramStart"/>
            <w:r w:rsidRPr="007F63B3">
              <w:t>предоставить справку</w:t>
            </w:r>
            <w:proofErr w:type="gramEnd"/>
            <w:r w:rsidRPr="007F63B3">
              <w:t xml:space="preserve"> с рынка, на котором осуществляет деятельность, с указанием торгового места и его площади либо соответствующий договор аренды.</w:t>
            </w:r>
          </w:p>
          <w:p w:rsidR="007F63B3" w:rsidRPr="007F63B3" w:rsidRDefault="007F63B3" w:rsidP="007F63B3">
            <w:r w:rsidRPr="007F63B3">
              <w:t xml:space="preserve">В случае если торговое место расположено на территориях, не </w:t>
            </w:r>
            <w:r w:rsidRPr="007F63B3">
              <w:lastRenderedPageBreak/>
              <w:t xml:space="preserve">имеющих статуса рынка, необходимо </w:t>
            </w:r>
            <w:proofErr w:type="gramStart"/>
            <w:r w:rsidRPr="007F63B3">
              <w:t>предоставлять справку</w:t>
            </w:r>
            <w:proofErr w:type="gramEnd"/>
            <w:r w:rsidRPr="007F63B3">
              <w:t>, выданную Администрацией города и района с указанием дислокации торговых рядов, торгового места и его площади. Обязанность выдачи справок на руководителей рынков и Глав Администраций городов и районов Луганской Народной Республики в 3-</w:t>
            </w:r>
            <w:proofErr w:type="spellStart"/>
            <w:r w:rsidRPr="007F63B3">
              <w:t>дневный</w:t>
            </w:r>
            <w:proofErr w:type="spellEnd"/>
            <w:r w:rsidRPr="007F63B3">
              <w:t xml:space="preserve"> срок </w:t>
            </w:r>
            <w:proofErr w:type="gramStart"/>
            <w:r w:rsidRPr="007F63B3">
              <w:t>с даты обращения</w:t>
            </w:r>
            <w:proofErr w:type="gramEnd"/>
            <w:r w:rsidRPr="007F63B3">
              <w:t>.</w:t>
            </w:r>
          </w:p>
        </w:tc>
      </w:tr>
      <w:tr w:rsidR="007F63B3" w:rsidRPr="007F63B3" w:rsidTr="008D65B1">
        <w:trPr>
          <w:trHeight w:val="283"/>
        </w:trPr>
        <w:tc>
          <w:tcPr>
            <w:tcW w:w="7763" w:type="dxa"/>
            <w:shd w:val="clear" w:color="auto" w:fill="auto"/>
          </w:tcPr>
          <w:p w:rsidR="007F63B3" w:rsidRPr="007F63B3" w:rsidRDefault="007F63B3" w:rsidP="007F63B3">
            <w:r w:rsidRPr="007F63B3">
              <w:lastRenderedPageBreak/>
              <w:t>Не предусмотрено</w:t>
            </w:r>
          </w:p>
        </w:tc>
        <w:tc>
          <w:tcPr>
            <w:tcW w:w="7513" w:type="dxa"/>
            <w:shd w:val="clear" w:color="auto" w:fill="auto"/>
          </w:tcPr>
          <w:p w:rsidR="007F63B3" w:rsidRPr="007F63B3" w:rsidRDefault="007F63B3" w:rsidP="007F63B3">
            <w:r w:rsidRPr="007F63B3">
              <w:t>Физические лица - граждане имеют право приобрести  не более 3 раз в год одноразовый патент  для осуществления несистематической торговли товарами (в том числе изготовленных товаров, вещей, бывших в употреблении, собственной сельскохозяйственной  и лесной продукции)</w:t>
            </w:r>
            <w:proofErr w:type="gramStart"/>
            <w:r w:rsidRPr="007F63B3">
              <w:t>.О</w:t>
            </w:r>
            <w:proofErr w:type="gramEnd"/>
            <w:r w:rsidRPr="007F63B3">
              <w:t>дноразовый патент выдается на срок от 1 до 14 дней. Стоимость патента составляет 20 российских рублей в день.</w:t>
            </w:r>
          </w:p>
        </w:tc>
      </w:tr>
      <w:tr w:rsidR="007F63B3" w:rsidRPr="007F63B3" w:rsidTr="008D65B1">
        <w:trPr>
          <w:trHeight w:val="283"/>
        </w:trPr>
        <w:tc>
          <w:tcPr>
            <w:tcW w:w="7763" w:type="dxa"/>
            <w:shd w:val="clear" w:color="auto" w:fill="auto"/>
          </w:tcPr>
          <w:p w:rsidR="007F63B3" w:rsidRPr="007F63B3" w:rsidRDefault="007F63B3" w:rsidP="007F63B3">
            <w:r w:rsidRPr="007F63B3">
              <w:t>Регистрация договоров аренды (субаренды), ссуды в органе налогов и сборов – в течени</w:t>
            </w:r>
            <w:proofErr w:type="gramStart"/>
            <w:r w:rsidRPr="007F63B3">
              <w:t>и</w:t>
            </w:r>
            <w:proofErr w:type="gramEnd"/>
            <w:r w:rsidRPr="007F63B3">
              <w:t xml:space="preserve"> 5 дней с дня заключения.</w:t>
            </w:r>
          </w:p>
        </w:tc>
        <w:tc>
          <w:tcPr>
            <w:tcW w:w="7513" w:type="dxa"/>
            <w:shd w:val="clear" w:color="auto" w:fill="auto"/>
          </w:tcPr>
          <w:p w:rsidR="007F63B3" w:rsidRPr="007F63B3" w:rsidRDefault="007F63B3" w:rsidP="007F63B3">
            <w:r w:rsidRPr="007F63B3">
              <w:t>Регистрация договоров аренды (субаренды), ссуды в органе налогов и сборов – – в течени</w:t>
            </w:r>
            <w:proofErr w:type="gramStart"/>
            <w:r w:rsidRPr="007F63B3">
              <w:t>и</w:t>
            </w:r>
            <w:proofErr w:type="gramEnd"/>
            <w:r w:rsidRPr="007F63B3">
              <w:t xml:space="preserve"> 30 дней с дня заключения.</w:t>
            </w:r>
          </w:p>
          <w:p w:rsidR="007F63B3" w:rsidRPr="007F63B3" w:rsidRDefault="007F63B3" w:rsidP="007F63B3">
            <w:r w:rsidRPr="007F63B3">
              <w:t>Договор аренды может не регистрироваться в случае сдачи в аренду недвижимого имущества, торговых мест и объектов малых архитектурных форм лицам первой степени родства (родители, супруги, дети), которые осуществляют хозяйственную деятельность на данных объектах, при наличии документа, подтверждающего первую степень родства.</w:t>
            </w:r>
          </w:p>
          <w:p w:rsidR="007F63B3" w:rsidRPr="007F63B3" w:rsidRDefault="007F63B3" w:rsidP="007F63B3">
            <w:r w:rsidRPr="007F63B3">
              <w:t>При заключении договоров с неприбыльными организациями и физическими лицами обязанность регистрации договоров возлагается на арендаторов.</w:t>
            </w:r>
          </w:p>
        </w:tc>
      </w:tr>
      <w:tr w:rsidR="007F63B3" w:rsidRPr="007F63B3" w:rsidTr="008D65B1">
        <w:trPr>
          <w:trHeight w:val="283"/>
        </w:trPr>
        <w:tc>
          <w:tcPr>
            <w:tcW w:w="7763" w:type="dxa"/>
            <w:shd w:val="clear" w:color="auto" w:fill="auto"/>
          </w:tcPr>
          <w:p w:rsidR="007F63B3" w:rsidRPr="007F63B3" w:rsidRDefault="007F63B3" w:rsidP="007F63B3">
            <w:r w:rsidRPr="007F63B3">
              <w:t xml:space="preserve">Срок подачи заявлений </w:t>
            </w:r>
            <w:proofErr w:type="gramStart"/>
            <w:r w:rsidRPr="007F63B3">
              <w:t>на</w:t>
            </w:r>
            <w:proofErr w:type="gramEnd"/>
            <w:r w:rsidRPr="007F63B3">
              <w:t xml:space="preserve"> упрощенные налоговые режимы–20.01.2016.</w:t>
            </w:r>
          </w:p>
        </w:tc>
        <w:tc>
          <w:tcPr>
            <w:tcW w:w="7513" w:type="dxa"/>
            <w:shd w:val="clear" w:color="auto" w:fill="auto"/>
          </w:tcPr>
          <w:p w:rsidR="007F63B3" w:rsidRPr="007F63B3" w:rsidRDefault="007F63B3" w:rsidP="007F63B3">
            <w:r w:rsidRPr="007F63B3">
              <w:t xml:space="preserve">Срок подачи заявлений </w:t>
            </w:r>
            <w:proofErr w:type="gramStart"/>
            <w:r w:rsidRPr="007F63B3">
              <w:t>на</w:t>
            </w:r>
            <w:proofErr w:type="gramEnd"/>
            <w:r w:rsidRPr="007F63B3">
              <w:t xml:space="preserve"> упрощенные налоговые режимы–29.02.2016.</w:t>
            </w:r>
          </w:p>
        </w:tc>
      </w:tr>
      <w:tr w:rsidR="007F63B3" w:rsidRPr="007F63B3" w:rsidTr="008D65B1">
        <w:trPr>
          <w:trHeight w:val="283"/>
        </w:trPr>
        <w:tc>
          <w:tcPr>
            <w:tcW w:w="15276" w:type="dxa"/>
            <w:gridSpan w:val="2"/>
            <w:shd w:val="clear" w:color="auto" w:fill="auto"/>
          </w:tcPr>
          <w:p w:rsidR="007F63B3" w:rsidRPr="007F63B3" w:rsidRDefault="007F63B3" w:rsidP="007F63B3">
            <w:r w:rsidRPr="007F63B3">
              <w:t>Переходной период с 01.01.2016 по 01.07.2016</w:t>
            </w:r>
          </w:p>
        </w:tc>
      </w:tr>
      <w:tr w:rsidR="007F63B3" w:rsidRPr="007F63B3" w:rsidTr="008D65B1">
        <w:trPr>
          <w:trHeight w:val="283"/>
        </w:trPr>
        <w:tc>
          <w:tcPr>
            <w:tcW w:w="7763" w:type="dxa"/>
            <w:shd w:val="clear" w:color="auto" w:fill="auto"/>
          </w:tcPr>
          <w:p w:rsidR="007F63B3" w:rsidRPr="007F63B3" w:rsidRDefault="007F63B3" w:rsidP="007F63B3">
            <w:r w:rsidRPr="007F63B3">
              <w:t xml:space="preserve">Субъекты хозяйствования, которые </w:t>
            </w:r>
            <w:proofErr w:type="gramStart"/>
            <w:r w:rsidRPr="007F63B3">
              <w:t>находятся на патентной системе налогообложения не могут</w:t>
            </w:r>
            <w:proofErr w:type="gramEnd"/>
            <w:r w:rsidRPr="007F63B3">
              <w:t xml:space="preserve"> осуществлять внешнеэкономическую деятельность</w:t>
            </w:r>
          </w:p>
        </w:tc>
        <w:tc>
          <w:tcPr>
            <w:tcW w:w="7513" w:type="dxa"/>
            <w:shd w:val="clear" w:color="auto" w:fill="auto"/>
          </w:tcPr>
          <w:p w:rsidR="007F63B3" w:rsidRPr="007F63B3" w:rsidRDefault="007F63B3" w:rsidP="007F63B3">
            <w:r w:rsidRPr="007F63B3">
              <w:t>Субъекты хозяйствования, которые находятся на патентной системе налогообложения, имеют право осуществлять импортные операции.</w:t>
            </w:r>
          </w:p>
        </w:tc>
      </w:tr>
      <w:tr w:rsidR="007F63B3" w:rsidRPr="007F63B3" w:rsidTr="008D65B1">
        <w:trPr>
          <w:trHeight w:val="283"/>
        </w:trPr>
        <w:tc>
          <w:tcPr>
            <w:tcW w:w="7763" w:type="dxa"/>
            <w:shd w:val="clear" w:color="auto" w:fill="auto"/>
          </w:tcPr>
          <w:p w:rsidR="007F63B3" w:rsidRPr="007F63B3" w:rsidRDefault="007F63B3" w:rsidP="007F63B3">
            <w:r w:rsidRPr="007F63B3">
              <w:t xml:space="preserve">Патентная система налогообложения- </w:t>
            </w:r>
          </w:p>
          <w:p w:rsidR="007F63B3" w:rsidRPr="007F63B3" w:rsidRDefault="007F63B3" w:rsidP="007F63B3">
            <w:r w:rsidRPr="007F63B3">
              <w:t>- торговля исключительно на рынках;</w:t>
            </w:r>
          </w:p>
          <w:p w:rsidR="007F63B3" w:rsidRPr="007F63B3" w:rsidRDefault="007F63B3" w:rsidP="007F63B3">
            <w:r w:rsidRPr="007F63B3">
              <w:t xml:space="preserve">- годовой валовый доход – 1 </w:t>
            </w:r>
            <w:proofErr w:type="spellStart"/>
            <w:r w:rsidRPr="007F63B3">
              <w:t>млн</w:t>
            </w:r>
            <w:proofErr w:type="gramStart"/>
            <w:r w:rsidRPr="007F63B3">
              <w:t>.р</w:t>
            </w:r>
            <w:proofErr w:type="gramEnd"/>
            <w:r w:rsidRPr="007F63B3">
              <w:t>уб</w:t>
            </w:r>
            <w:proofErr w:type="spellEnd"/>
            <w:r w:rsidRPr="007F63B3">
              <w:t>.;</w:t>
            </w:r>
          </w:p>
          <w:p w:rsidR="007F63B3" w:rsidRPr="007F63B3" w:rsidRDefault="007F63B3" w:rsidP="007F63B3">
            <w:r w:rsidRPr="007F63B3">
              <w:t xml:space="preserve">- торговая площадь – не более 15 </w:t>
            </w:r>
            <w:proofErr w:type="spellStart"/>
            <w:r w:rsidRPr="007F63B3">
              <w:t>кв.м</w:t>
            </w:r>
            <w:proofErr w:type="spellEnd"/>
            <w:r w:rsidRPr="007F63B3">
              <w:t>.</w:t>
            </w:r>
          </w:p>
          <w:p w:rsidR="007F63B3" w:rsidRPr="007F63B3" w:rsidRDefault="007F63B3" w:rsidP="007F63B3"/>
          <w:p w:rsidR="007F63B3" w:rsidRPr="007F63B3" w:rsidRDefault="007F63B3" w:rsidP="007F63B3"/>
        </w:tc>
        <w:tc>
          <w:tcPr>
            <w:tcW w:w="7513" w:type="dxa"/>
            <w:shd w:val="clear" w:color="auto" w:fill="auto"/>
          </w:tcPr>
          <w:p w:rsidR="007F63B3" w:rsidRPr="007F63B3" w:rsidRDefault="007F63B3" w:rsidP="007F63B3">
            <w:r w:rsidRPr="007F63B3">
              <w:lastRenderedPageBreak/>
              <w:t>Патентная система налогообложения с 01.01.16 до 01.07.16:</w:t>
            </w:r>
          </w:p>
          <w:p w:rsidR="007F63B3" w:rsidRPr="007F63B3" w:rsidRDefault="007F63B3" w:rsidP="007F63B3">
            <w:r w:rsidRPr="007F63B3">
              <w:t>на рынках</w:t>
            </w:r>
            <w:proofErr w:type="gramStart"/>
            <w:r w:rsidRPr="007F63B3">
              <w:t xml:space="preserve"> :</w:t>
            </w:r>
            <w:proofErr w:type="gramEnd"/>
          </w:p>
          <w:p w:rsidR="007F63B3" w:rsidRPr="007F63B3" w:rsidRDefault="007F63B3" w:rsidP="007F63B3">
            <w:r w:rsidRPr="007F63B3">
              <w:t xml:space="preserve">- полугодовой объем – 1,5 </w:t>
            </w:r>
            <w:proofErr w:type="spellStart"/>
            <w:r w:rsidRPr="007F63B3">
              <w:t>млн</w:t>
            </w:r>
            <w:proofErr w:type="gramStart"/>
            <w:r w:rsidRPr="007F63B3">
              <w:t>.р</w:t>
            </w:r>
            <w:proofErr w:type="gramEnd"/>
            <w:r w:rsidRPr="007F63B3">
              <w:t>уб</w:t>
            </w:r>
            <w:proofErr w:type="spellEnd"/>
            <w:r w:rsidRPr="007F63B3">
              <w:t>.,</w:t>
            </w:r>
          </w:p>
          <w:p w:rsidR="007F63B3" w:rsidRPr="007F63B3" w:rsidRDefault="007F63B3" w:rsidP="007F63B3">
            <w:r w:rsidRPr="007F63B3">
              <w:t xml:space="preserve"> - торговая площадь – 20 </w:t>
            </w:r>
            <w:proofErr w:type="spellStart"/>
            <w:r w:rsidRPr="007F63B3">
              <w:t>кв.м</w:t>
            </w:r>
            <w:proofErr w:type="spellEnd"/>
            <w:r w:rsidRPr="007F63B3">
              <w:t>.</w:t>
            </w:r>
          </w:p>
          <w:p w:rsidR="007F63B3" w:rsidRPr="007F63B3" w:rsidRDefault="007F63B3" w:rsidP="007F63B3">
            <w:r w:rsidRPr="007F63B3">
              <w:lastRenderedPageBreak/>
              <w:t>- стоимость 510 руб. в месяц.</w:t>
            </w:r>
          </w:p>
          <w:p w:rsidR="007F63B3" w:rsidRPr="007F63B3" w:rsidRDefault="007F63B3" w:rsidP="007F63B3">
            <w:r w:rsidRPr="007F63B3">
              <w:t>2.  на рынках (торговля с машин (приме</w:t>
            </w:r>
            <w:proofErr w:type="gramStart"/>
            <w:r w:rsidRPr="007F63B3">
              <w:t>р-</w:t>
            </w:r>
            <w:proofErr w:type="gramEnd"/>
            <w:r w:rsidRPr="007F63B3">
              <w:t xml:space="preserve"> рынок «Околица»):</w:t>
            </w:r>
          </w:p>
          <w:p w:rsidR="007F63B3" w:rsidRPr="007F63B3" w:rsidRDefault="007F63B3" w:rsidP="007F63B3">
            <w:r w:rsidRPr="007F63B3">
              <w:t xml:space="preserve">- полугодовой объем – 6 </w:t>
            </w:r>
            <w:proofErr w:type="spellStart"/>
            <w:r w:rsidRPr="007F63B3">
              <w:t>млн</w:t>
            </w:r>
            <w:proofErr w:type="gramStart"/>
            <w:r w:rsidRPr="007F63B3">
              <w:t>.р</w:t>
            </w:r>
            <w:proofErr w:type="gramEnd"/>
            <w:r w:rsidRPr="007F63B3">
              <w:t>уб</w:t>
            </w:r>
            <w:proofErr w:type="spellEnd"/>
            <w:r w:rsidRPr="007F63B3">
              <w:t>.;</w:t>
            </w:r>
          </w:p>
          <w:p w:rsidR="007F63B3" w:rsidRPr="007F63B3" w:rsidRDefault="007F63B3" w:rsidP="007F63B3">
            <w:r w:rsidRPr="007F63B3">
              <w:t xml:space="preserve"> - торговая площадь – нет ограничения;</w:t>
            </w:r>
          </w:p>
          <w:p w:rsidR="007F63B3" w:rsidRPr="007F63B3" w:rsidRDefault="007F63B3" w:rsidP="007F63B3">
            <w:r w:rsidRPr="007F63B3">
              <w:t>- стоимость 5 000 руб. в месяц.</w:t>
            </w:r>
          </w:p>
          <w:p w:rsidR="007F63B3" w:rsidRPr="007F63B3" w:rsidRDefault="007F63B3" w:rsidP="007F63B3">
            <w:r w:rsidRPr="007F63B3">
              <w:t>3. торговля в магазинах:</w:t>
            </w:r>
          </w:p>
          <w:p w:rsidR="007F63B3" w:rsidRPr="007F63B3" w:rsidRDefault="007F63B3" w:rsidP="007F63B3">
            <w:r w:rsidRPr="007F63B3">
              <w:t xml:space="preserve">- полугодовой объем – 3 </w:t>
            </w:r>
            <w:proofErr w:type="spellStart"/>
            <w:r w:rsidRPr="007F63B3">
              <w:t>млн</w:t>
            </w:r>
            <w:proofErr w:type="gramStart"/>
            <w:r w:rsidRPr="007F63B3">
              <w:t>.р</w:t>
            </w:r>
            <w:proofErr w:type="gramEnd"/>
            <w:r w:rsidRPr="007F63B3">
              <w:t>уб</w:t>
            </w:r>
            <w:proofErr w:type="spellEnd"/>
            <w:r w:rsidRPr="007F63B3">
              <w:t>.,</w:t>
            </w:r>
          </w:p>
          <w:p w:rsidR="007F63B3" w:rsidRPr="007F63B3" w:rsidRDefault="007F63B3" w:rsidP="007F63B3">
            <w:r w:rsidRPr="007F63B3">
              <w:t xml:space="preserve"> - торговая площадь – 50 </w:t>
            </w:r>
            <w:proofErr w:type="spellStart"/>
            <w:r w:rsidRPr="007F63B3">
              <w:t>кв.м</w:t>
            </w:r>
            <w:proofErr w:type="spellEnd"/>
            <w:r w:rsidRPr="007F63B3">
              <w:t>.</w:t>
            </w:r>
          </w:p>
          <w:p w:rsidR="007F63B3" w:rsidRPr="007F63B3" w:rsidRDefault="007F63B3" w:rsidP="007F63B3">
            <w:r w:rsidRPr="007F63B3">
              <w:t>- стоимость 1 020 руб. в месяц.</w:t>
            </w:r>
          </w:p>
          <w:p w:rsidR="007F63B3" w:rsidRPr="007F63B3" w:rsidRDefault="007F63B3" w:rsidP="007F63B3"/>
          <w:p w:rsidR="007F63B3" w:rsidRPr="007F63B3" w:rsidRDefault="007F63B3" w:rsidP="007F63B3">
            <w:r w:rsidRPr="007F63B3">
              <w:t>Отчетность подается за полугодие.</w:t>
            </w:r>
          </w:p>
          <w:p w:rsidR="007F63B3" w:rsidRPr="007F63B3" w:rsidRDefault="007F63B3" w:rsidP="007F63B3">
            <w:r w:rsidRPr="007F63B3">
              <w:t>Патент не приобретается на наемного работника – супруга, при осуществлении деятельности на одной торговой точке.</w:t>
            </w:r>
          </w:p>
        </w:tc>
      </w:tr>
      <w:tr w:rsidR="007F63B3" w:rsidRPr="007F63B3" w:rsidTr="008D65B1">
        <w:trPr>
          <w:trHeight w:val="283"/>
        </w:trPr>
        <w:tc>
          <w:tcPr>
            <w:tcW w:w="7763" w:type="dxa"/>
            <w:shd w:val="clear" w:color="auto" w:fill="auto"/>
          </w:tcPr>
          <w:p w:rsidR="007F63B3" w:rsidRPr="007F63B3" w:rsidRDefault="007F63B3" w:rsidP="007F63B3">
            <w:r w:rsidRPr="007F63B3">
              <w:lastRenderedPageBreak/>
              <w:t>Упрощенная система налогообложения (І группа):</w:t>
            </w:r>
          </w:p>
          <w:p w:rsidR="007F63B3" w:rsidRPr="007F63B3" w:rsidRDefault="007F63B3" w:rsidP="007F63B3">
            <w:r w:rsidRPr="007F63B3">
              <w:t xml:space="preserve">Ставка 2,5 %, при проведении расчетов применяются расчетные квитанции либо </w:t>
            </w:r>
            <w:proofErr w:type="spellStart"/>
            <w:r w:rsidRPr="007F63B3">
              <w:t>РРО</w:t>
            </w:r>
            <w:proofErr w:type="spellEnd"/>
            <w:r w:rsidRPr="007F63B3">
              <w:t>, ежемесячная отчетность.</w:t>
            </w:r>
          </w:p>
        </w:tc>
        <w:tc>
          <w:tcPr>
            <w:tcW w:w="7513" w:type="dxa"/>
            <w:shd w:val="clear" w:color="auto" w:fill="auto"/>
          </w:tcPr>
          <w:p w:rsidR="007F63B3" w:rsidRPr="007F63B3" w:rsidRDefault="007F63B3" w:rsidP="007F63B3">
            <w:r w:rsidRPr="007F63B3">
              <w:t>Упрощенная система налогообложения с 01.01.16 по 0.07.16:</w:t>
            </w:r>
          </w:p>
          <w:p w:rsidR="007F63B3" w:rsidRPr="007F63B3" w:rsidRDefault="007F63B3" w:rsidP="007F63B3">
            <w:r w:rsidRPr="007F63B3">
              <w:t>Для  плательщиков упрощенного налога І группы, альтернативная ставка:</w:t>
            </w:r>
          </w:p>
          <w:p w:rsidR="007F63B3" w:rsidRPr="007F63B3" w:rsidRDefault="007F63B3" w:rsidP="007F63B3">
            <w:r w:rsidRPr="007F63B3">
              <w:t>-  полугодовой объем 3 млн. руб.;</w:t>
            </w:r>
          </w:p>
          <w:p w:rsidR="007F63B3" w:rsidRPr="007F63B3" w:rsidRDefault="007F63B3" w:rsidP="007F63B3">
            <w:r w:rsidRPr="007F63B3">
              <w:t>- фиксированная ставка - 2 </w:t>
            </w:r>
            <w:proofErr w:type="spellStart"/>
            <w:r w:rsidRPr="007F63B3">
              <w:t>000руб</w:t>
            </w:r>
            <w:proofErr w:type="spellEnd"/>
            <w:r w:rsidRPr="007F63B3">
              <w:t>.;</w:t>
            </w:r>
          </w:p>
          <w:p w:rsidR="007F63B3" w:rsidRPr="007F63B3" w:rsidRDefault="007F63B3" w:rsidP="007F63B3">
            <w:r w:rsidRPr="007F63B3">
              <w:t xml:space="preserve">- расчетные квитанции выдаются по требованию покупателя, </w:t>
            </w:r>
          </w:p>
          <w:p w:rsidR="007F63B3" w:rsidRPr="007F63B3" w:rsidRDefault="007F63B3" w:rsidP="007F63B3">
            <w:r w:rsidRPr="007F63B3">
              <w:t>- налоговая отчетность подается за полугодие.</w:t>
            </w:r>
          </w:p>
        </w:tc>
      </w:tr>
      <w:tr w:rsidR="007F63B3" w:rsidRPr="007F63B3" w:rsidTr="008D65B1">
        <w:trPr>
          <w:trHeight w:val="283"/>
        </w:trPr>
        <w:tc>
          <w:tcPr>
            <w:tcW w:w="7763" w:type="dxa"/>
            <w:shd w:val="clear" w:color="auto" w:fill="auto"/>
          </w:tcPr>
          <w:p w:rsidR="007F63B3" w:rsidRPr="007F63B3" w:rsidRDefault="007F63B3" w:rsidP="007F63B3">
            <w:r w:rsidRPr="007F63B3">
              <w:t xml:space="preserve">Плательщикам упрощенного налога не запрещено осуществлять деятельность в сфере общественного питания (кроме случаев, указанных в </w:t>
            </w:r>
            <w:proofErr w:type="spellStart"/>
            <w:r w:rsidRPr="007F63B3">
              <w:t>п.п.158.2.8</w:t>
            </w:r>
            <w:proofErr w:type="spellEnd"/>
            <w:r w:rsidRPr="007F63B3">
              <w:t xml:space="preserve">. </w:t>
            </w:r>
            <w:proofErr w:type="spellStart"/>
            <w:r w:rsidRPr="007F63B3">
              <w:t>п.158.2</w:t>
            </w:r>
            <w:proofErr w:type="spellEnd"/>
            <w:r w:rsidRPr="007F63B3">
              <w:t xml:space="preserve">. </w:t>
            </w:r>
            <w:proofErr w:type="spellStart"/>
            <w:r w:rsidRPr="007F63B3">
              <w:t>ст.158</w:t>
            </w:r>
            <w:proofErr w:type="spellEnd"/>
            <w:r w:rsidRPr="007F63B3">
              <w:t xml:space="preserve"> Закона).</w:t>
            </w:r>
          </w:p>
        </w:tc>
        <w:tc>
          <w:tcPr>
            <w:tcW w:w="7513" w:type="dxa"/>
            <w:shd w:val="clear" w:color="auto" w:fill="auto"/>
          </w:tcPr>
          <w:p w:rsidR="007F63B3" w:rsidRPr="007F63B3" w:rsidRDefault="007F63B3" w:rsidP="007F63B3">
            <w:r w:rsidRPr="007F63B3">
              <w:t>Разрешено быть на упрощенной системе  субъектам хозяйствования, осуществляющим деятельность в сфере общественного питания без продажи алкогольной продукции, табачных изделий.</w:t>
            </w:r>
          </w:p>
        </w:tc>
      </w:tr>
      <w:tr w:rsidR="007F63B3" w:rsidRPr="007F63B3" w:rsidTr="008D65B1">
        <w:trPr>
          <w:trHeight w:val="283"/>
        </w:trPr>
        <w:tc>
          <w:tcPr>
            <w:tcW w:w="7763" w:type="dxa"/>
            <w:shd w:val="clear" w:color="auto" w:fill="auto"/>
          </w:tcPr>
          <w:p w:rsidR="007F63B3" w:rsidRPr="007F63B3" w:rsidRDefault="007F63B3" w:rsidP="007F63B3">
            <w:r w:rsidRPr="007F63B3">
              <w:t>Физические лица, осуществляющие независимую профессиональную деятельность (адвокаты, нотариусы, арбитражные управляющие) не могут применять упрощенную систему налогообложения.</w:t>
            </w:r>
          </w:p>
        </w:tc>
        <w:tc>
          <w:tcPr>
            <w:tcW w:w="7513" w:type="dxa"/>
            <w:shd w:val="clear" w:color="auto" w:fill="auto"/>
          </w:tcPr>
          <w:p w:rsidR="007F63B3" w:rsidRPr="007F63B3" w:rsidRDefault="007F63B3" w:rsidP="007F63B3">
            <w:r w:rsidRPr="007F63B3">
              <w:t xml:space="preserve">Плательщиками упрощенного налога </w:t>
            </w:r>
            <w:proofErr w:type="spellStart"/>
            <w:r w:rsidRPr="007F63B3">
              <w:t>ІІ</w:t>
            </w:r>
            <w:proofErr w:type="spellEnd"/>
            <w:r w:rsidRPr="007F63B3">
              <w:t xml:space="preserve"> группы могут быть физические лица, осуществляющие независимую профессиональную деятельность (адвокаты, нотариусы, арбитражные управляющие).</w:t>
            </w:r>
          </w:p>
        </w:tc>
      </w:tr>
      <w:tr w:rsidR="007F63B3" w:rsidRPr="007F63B3" w:rsidTr="008D65B1">
        <w:trPr>
          <w:trHeight w:val="283"/>
        </w:trPr>
        <w:tc>
          <w:tcPr>
            <w:tcW w:w="7763" w:type="dxa"/>
            <w:shd w:val="clear" w:color="auto" w:fill="auto"/>
          </w:tcPr>
          <w:p w:rsidR="007F63B3" w:rsidRPr="007F63B3" w:rsidRDefault="007F63B3" w:rsidP="007F63B3">
            <w:r w:rsidRPr="007F63B3">
              <w:t>Налоговая отчетность по подоходному налогу подается ежемесячно.</w:t>
            </w:r>
          </w:p>
        </w:tc>
        <w:tc>
          <w:tcPr>
            <w:tcW w:w="7513" w:type="dxa"/>
            <w:shd w:val="clear" w:color="auto" w:fill="auto"/>
          </w:tcPr>
          <w:p w:rsidR="007F63B3" w:rsidRPr="007F63B3" w:rsidRDefault="007F63B3" w:rsidP="007F63B3">
            <w:r w:rsidRPr="007F63B3">
              <w:t xml:space="preserve">Налоговая отчетность по подоходному налогу подается ежеквартально в течение 20 календарных дней, наступающих за последним календарным  днем  отчетного </w:t>
            </w:r>
            <w:proofErr w:type="gramStart"/>
            <w:r w:rsidRPr="007F63B3">
              <w:t xml:space="preserve">( </w:t>
            </w:r>
            <w:proofErr w:type="gramEnd"/>
            <w:r w:rsidRPr="007F63B3">
              <w:t>налогового) квартала.</w:t>
            </w:r>
          </w:p>
        </w:tc>
      </w:tr>
      <w:tr w:rsidR="007F63B3" w:rsidRPr="007F63B3" w:rsidTr="008D65B1">
        <w:trPr>
          <w:trHeight w:val="283"/>
        </w:trPr>
        <w:tc>
          <w:tcPr>
            <w:tcW w:w="7763" w:type="dxa"/>
            <w:shd w:val="clear" w:color="auto" w:fill="auto"/>
          </w:tcPr>
          <w:p w:rsidR="007F63B3" w:rsidRPr="007F63B3" w:rsidRDefault="007F63B3" w:rsidP="007F63B3"/>
        </w:tc>
        <w:tc>
          <w:tcPr>
            <w:tcW w:w="7513" w:type="dxa"/>
            <w:shd w:val="clear" w:color="auto" w:fill="auto"/>
          </w:tcPr>
          <w:p w:rsidR="007F63B3" w:rsidRPr="007F63B3" w:rsidRDefault="007F63B3" w:rsidP="007F63B3">
            <w:r w:rsidRPr="007F63B3">
              <w:t>Приостановлено действие нормы пункта 77.9. статьи 77 относительно распределение чистой прибыли до 01.07.2016 года.</w:t>
            </w:r>
          </w:p>
        </w:tc>
      </w:tr>
    </w:tbl>
    <w:p w:rsidR="00A51BBD" w:rsidRPr="007F63B3" w:rsidRDefault="00A51BBD" w:rsidP="007F63B3"/>
    <w:sectPr w:rsidR="00A51BBD" w:rsidRPr="007F63B3" w:rsidSect="007F63B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F38D2"/>
    <w:multiLevelType w:val="hybridMultilevel"/>
    <w:tmpl w:val="7FDA3E7A"/>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B3"/>
    <w:rsid w:val="007F63B3"/>
    <w:rsid w:val="00A5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2"/>
    <w:unhideWhenUsed/>
    <w:rsid w:val="007F63B3"/>
    <w:pPr>
      <w:spacing w:before="100" w:beforeAutospacing="1" w:after="100" w:afterAutospacing="1"/>
    </w:pPr>
  </w:style>
  <w:style w:type="character" w:customStyle="1" w:styleId="2">
    <w:name w:val="Обычный (веб) Знак2"/>
    <w:link w:val="a3"/>
    <w:locked/>
    <w:rsid w:val="007F63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2"/>
    <w:unhideWhenUsed/>
    <w:rsid w:val="007F63B3"/>
    <w:pPr>
      <w:spacing w:before="100" w:beforeAutospacing="1" w:after="100" w:afterAutospacing="1"/>
    </w:pPr>
  </w:style>
  <w:style w:type="character" w:customStyle="1" w:styleId="2">
    <w:name w:val="Обычный (веб) Знак2"/>
    <w:link w:val="a3"/>
    <w:locked/>
    <w:rsid w:val="007F63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glv</dc:creator>
  <cp:lastModifiedBy>glv</cp:lastModifiedBy>
  <cp:revision>1</cp:revision>
  <dcterms:created xsi:type="dcterms:W3CDTF">2016-02-16T14:06:00Z</dcterms:created>
  <dcterms:modified xsi:type="dcterms:W3CDTF">2016-02-16T14:07:00Z</dcterms:modified>
</cp:coreProperties>
</file>